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0B" w:rsidRDefault="00A33716">
      <w:pPr>
        <w:spacing w:line="360" w:lineRule="auto"/>
        <w:ind w:firstLine="567"/>
        <w:jc w:val="right"/>
      </w:pPr>
      <w:bookmarkStart w:id="0" w:name="_GoBack"/>
      <w:bookmarkEnd w:id="0"/>
      <w:r>
        <w:rPr>
          <w:sz w:val="28"/>
          <w:szCs w:val="28"/>
        </w:rPr>
        <w:t>Русанова Н.Е.</w:t>
      </w:r>
    </w:p>
    <w:p w:rsidR="00CB220B" w:rsidRDefault="00A33716">
      <w:pPr>
        <w:spacing w:line="360" w:lineRule="auto"/>
        <w:ind w:firstLine="567"/>
        <w:jc w:val="center"/>
        <w:rPr>
          <w:color w:val="0000CD"/>
        </w:rPr>
      </w:pPr>
      <w:r>
        <w:rPr>
          <w:b/>
          <w:bCs/>
          <w:color w:val="000000"/>
          <w:sz w:val="28"/>
          <w:szCs w:val="28"/>
        </w:rPr>
        <w:t>Демографический эффект современных репродуктивных технологий</w:t>
      </w:r>
    </w:p>
    <w:p w:rsidR="00CB220B" w:rsidRDefault="00A33716">
      <w:pPr>
        <w:spacing w:line="360" w:lineRule="auto"/>
        <w:ind w:firstLine="567"/>
        <w:jc w:val="right"/>
        <w:rPr>
          <w:color w:val="000000"/>
        </w:rPr>
      </w:pPr>
      <w:r>
        <w:rPr>
          <w:color w:val="000000"/>
          <w:sz w:val="28"/>
          <w:szCs w:val="28"/>
        </w:rPr>
        <w:t xml:space="preserve">Научный семинар Центра по изучению проблем народонаселения ЭФ МГУ </w:t>
      </w:r>
      <w:r>
        <w:rPr>
          <w:b/>
          <w:bCs/>
          <w:color w:val="000000"/>
          <w:sz w:val="28"/>
          <w:szCs w:val="28"/>
        </w:rPr>
        <w:t>18.10.2018</w:t>
      </w:r>
    </w:p>
    <w:p w:rsidR="00CB220B" w:rsidRDefault="00A33716">
      <w:pPr>
        <w:spacing w:line="360" w:lineRule="auto"/>
        <w:ind w:firstLine="567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Тезисы</w:t>
      </w:r>
    </w:p>
    <w:p w:rsidR="00CB220B" w:rsidRDefault="00A33716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 1978 г. родился первый в мире ребенок, зачатый в пробирке с помощью экстракорпорального </w:t>
      </w:r>
      <w:r>
        <w:rPr>
          <w:color w:val="000000"/>
          <w:sz w:val="28"/>
          <w:szCs w:val="28"/>
        </w:rPr>
        <w:t>оплодотворения (ЭКО). Этот медицинский прорыв в  лечении бесплодия не только стал началом изменения количественных и качественных показателей рождаемости, но и модифицировал многие социальные отношения, а также способствовал появлению новых экономических п</w:t>
      </w:r>
      <w:r>
        <w:rPr>
          <w:color w:val="000000"/>
          <w:sz w:val="28"/>
          <w:szCs w:val="28"/>
        </w:rPr>
        <w:t>роцессов. Сегодня в России проводится более 100 тыс. циклов вспомогательных репродуктивных технологий (ВРТ) в год (ок. 700 циклов на 1 млн населения, идеально должно быть 1500) и можно говорить о демографических, социальных и экономических эффектах ВРТ, те</w:t>
      </w:r>
      <w:r>
        <w:rPr>
          <w:color w:val="000000"/>
          <w:sz w:val="28"/>
          <w:szCs w:val="28"/>
        </w:rPr>
        <w:t xml:space="preserve">нденции формирования которых за 1995-2006 гг. были описаны в авторской монографии «Репродуктивные возможности демографического развития» (М., 2008). Исследование за 2007-2016 гг. подтвердило укрепление этих тенденций.   </w:t>
      </w:r>
    </w:p>
    <w:p w:rsidR="00CB220B" w:rsidRDefault="00A33716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Самыми яркими демографическими резу</w:t>
      </w:r>
      <w:r>
        <w:rPr>
          <w:color w:val="000000"/>
          <w:sz w:val="28"/>
          <w:szCs w:val="28"/>
        </w:rPr>
        <w:t>льтатами являются качественное и, в меньшей степени, количественное, изменение рождаемости. Анализ Национальных регистров ВРТ за 2007-2016 гг. показал, что за указанный период рост числа рождений, произошедших после ВРТ (ЭКО-рождений), существенно превышал</w:t>
      </w:r>
      <w:r>
        <w:rPr>
          <w:color w:val="000000"/>
          <w:sz w:val="28"/>
          <w:szCs w:val="28"/>
        </w:rPr>
        <w:t xml:space="preserve"> аналогичный показатель для «естественных рождений»: СКР вырос на 23,9%, доля ЭКО-рождений — в 3,8 раза, общее число родившихся — на 15,3%, число «естественных рождений» — на 13,9%.</w:t>
      </w:r>
    </w:p>
    <w:p w:rsidR="00CB220B" w:rsidRDefault="00A33716">
      <w:pPr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Хотя ЭКО-рождения не превышают 1,7% от общего числа родившихся, именно ср</w:t>
      </w:r>
      <w:r>
        <w:rPr>
          <w:color w:val="000000"/>
          <w:sz w:val="28"/>
          <w:szCs w:val="28"/>
        </w:rPr>
        <w:t xml:space="preserve">еди них реализуются такие репродуктивные потребности населения, соответствующие второму демографическому переходу, как откладывание </w:t>
      </w:r>
      <w:r>
        <w:rPr>
          <w:color w:val="000000"/>
          <w:sz w:val="28"/>
          <w:szCs w:val="28"/>
        </w:rPr>
        <w:lastRenderedPageBreak/>
        <w:t>рождений на более старшие возраста и полный отказ от рождения детей, а также выбор времени рождения детей и их биологические</w:t>
      </w:r>
      <w:r>
        <w:rPr>
          <w:color w:val="000000"/>
          <w:sz w:val="28"/>
          <w:szCs w:val="28"/>
        </w:rPr>
        <w:t xml:space="preserve"> характеристики. Такие качественные изменения рождаемости приводят к социальным и экономическим переменам.</w:t>
      </w:r>
    </w:p>
    <w:p w:rsidR="00CB220B" w:rsidRDefault="00A33716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Старение населения и увеличение продолжительности жизни (появилось даже понятие «молодые пятидесятилетние»), привели к тому, что осознанное желание р</w:t>
      </w:r>
      <w:r>
        <w:rPr>
          <w:color w:val="000000"/>
          <w:sz w:val="28"/>
          <w:szCs w:val="28"/>
        </w:rPr>
        <w:t xml:space="preserve">одить детей все чаще откладывается на возраст физиологического снижения мужской и женской фертильности (начинается в 27 лет). </w:t>
      </w:r>
    </w:p>
    <w:p w:rsidR="00CB220B" w:rsidRDefault="00A33716">
      <w:pPr>
        <w:spacing w:line="360" w:lineRule="auto"/>
        <w:jc w:val="both"/>
      </w:pPr>
      <w:r>
        <w:rPr>
          <w:color w:val="000000"/>
          <w:sz w:val="28"/>
          <w:szCs w:val="28"/>
        </w:rPr>
        <w:tab/>
        <w:t>В связи с физиологическим процессом репродуктивного старения позднее родительство становится зависимым от ВРТ, причем от наиболе</w:t>
      </w:r>
      <w:r>
        <w:rPr>
          <w:color w:val="000000"/>
          <w:sz w:val="28"/>
          <w:szCs w:val="28"/>
        </w:rPr>
        <w:t>е социально-сложных программ, связанных с донорством половых клеток. Самая высокая частота наступления беременности и родов по «классическим» ЭКО и ИКСИ (применяется при мужском бесплодии) отмечается среди женщин не старше 34 лет: ЭКО – 33,8% беременностей</w:t>
      </w:r>
      <w:r>
        <w:rPr>
          <w:color w:val="000000"/>
          <w:sz w:val="28"/>
          <w:szCs w:val="28"/>
        </w:rPr>
        <w:t xml:space="preserve"> и 25,8% родов на цикл; ИКСИ – 30,3% и 22,9%, соответственно.</w:t>
      </w:r>
      <w:r>
        <w:rPr>
          <w:rStyle w:val="a6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 Это заметно ниже средней результативности российских ВРТ, но ситуация несколько улучшается при переходе к донорским программам, где показатели примерно одинаковы по всем возрастным группам. Опр</w:t>
      </w:r>
      <w:r>
        <w:rPr>
          <w:color w:val="000000"/>
          <w:sz w:val="28"/>
          <w:szCs w:val="28"/>
        </w:rPr>
        <w:t>еделенной альтернативой репродуктивному донорству является перенос криоконсервированных эмбрионов, при которой частота наступления беременности во всех возрастных группах превышает даже ЭКО и ИКСИ, поскольку криоконсервации могут подлежать собственные эмбр</w:t>
      </w:r>
      <w:r>
        <w:rPr>
          <w:color w:val="000000"/>
          <w:sz w:val="28"/>
          <w:szCs w:val="28"/>
        </w:rPr>
        <w:t>ионы, замороженные специально «впрок», либо сохранившиеся после успешно завершившихся программ ВРТ. Российское репродуктивное законодательство, почти не имеющее возрастных цензов, создает условия для рождения детей у «поздних» матерей, и, чем старше женщин</w:t>
      </w:r>
      <w:r>
        <w:rPr>
          <w:color w:val="000000"/>
          <w:sz w:val="28"/>
          <w:szCs w:val="28"/>
        </w:rPr>
        <w:t>а, тем сильнее ее репродуктивные намерения зависят от ВРТ.</w:t>
      </w:r>
    </w:p>
    <w:p w:rsidR="00CB220B" w:rsidRDefault="00A33716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Суррогатное материнство (СМ) — одна из наиболее «раскрученных» </w:t>
      </w:r>
      <w:r>
        <w:rPr>
          <w:color w:val="000000"/>
          <w:sz w:val="28"/>
          <w:szCs w:val="28"/>
        </w:rPr>
        <w:lastRenderedPageBreak/>
        <w:t>СМИ и одновременно наиболее юридически уязвимых программ ВРТ. СМ всегда регулируется законодательно, поскольку его внедрение и возможн</w:t>
      </w:r>
      <w:r>
        <w:rPr>
          <w:color w:val="000000"/>
          <w:sz w:val="28"/>
          <w:szCs w:val="28"/>
        </w:rPr>
        <w:t xml:space="preserve">ость рождения генетически чужого ребенка привело к переопределению юридического понятия родительства. Хотя число ВРТ с участием СМ за период исследования выросло в четыре раза (с 367 до 1465), а официальное число родов СМ даже чуть больше (со 107 до 470), </w:t>
      </w:r>
      <w:r>
        <w:rPr>
          <w:color w:val="000000"/>
          <w:sz w:val="28"/>
          <w:szCs w:val="28"/>
        </w:rPr>
        <w:t>их доля в общем числе циклов ВРТ минимальна и достаточно стабильна — 1,2-1,4%.</w:t>
      </w:r>
    </w:p>
    <w:p w:rsidR="00CB220B" w:rsidRDefault="00A33716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«Нестандартное родительство» - чайлд-фри и социальное бесплодие. </w:t>
      </w:r>
    </w:p>
    <w:p w:rsidR="00CB220B" w:rsidRDefault="00A33716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Экономические последствия ВРТ связаны, прежде всего, с появлением рынка ЭКО, занятости на нем и государственным</w:t>
      </w:r>
      <w:r>
        <w:rPr>
          <w:sz w:val="28"/>
          <w:szCs w:val="28"/>
        </w:rPr>
        <w:t xml:space="preserve"> регулированием.  </w:t>
      </w:r>
      <w:r>
        <w:rPr>
          <w:sz w:val="28"/>
          <w:szCs w:val="28"/>
        </w:rPr>
        <w:t>Объем мирового ЭКО-рынка сегодня приближается к $17 млрд,</w:t>
      </w:r>
      <w:r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 xml:space="preserve"> при этом лишь некоторые услуги его предоставляются нуждающимся бесплатно (в России — по ОМС). Например, ни в одной стране из государственных источников не финансируется преимплант</w:t>
      </w:r>
      <w:r>
        <w:rPr>
          <w:sz w:val="28"/>
          <w:szCs w:val="28"/>
        </w:rPr>
        <w:t>ационная диагностика (ПГД) и генетическое тестирование (ПГТ) эмбрионов, но может финансироваться ВРТ при социальном бесплодии (Россия). Вопросы: Если социальное бесплодие входит в ОМС, то кто оплачивает услуги репродуктивных доноров и сколько нужно таких д</w:t>
      </w:r>
      <w:r>
        <w:rPr>
          <w:sz w:val="28"/>
          <w:szCs w:val="28"/>
        </w:rPr>
        <w:t>оноров? Является ли «репродуктивная занятость» репродуктивных доноров и суррогатных матерей официальной (и тем и другим требуется хорошее здоровье и определенные ограничения в повседневной жизни), то как она должна регулироваться трудовым законодательством</w:t>
      </w:r>
      <w:r>
        <w:rPr>
          <w:sz w:val="28"/>
          <w:szCs w:val="28"/>
        </w:rPr>
        <w:t xml:space="preserve">?  </w:t>
      </w:r>
    </w:p>
    <w:p w:rsidR="00CB220B" w:rsidRDefault="00A33716">
      <w:pPr>
        <w:spacing w:line="360" w:lineRule="auto"/>
        <w:jc w:val="both"/>
      </w:pPr>
      <w:r>
        <w:rPr>
          <w:sz w:val="28"/>
          <w:szCs w:val="28"/>
        </w:rPr>
        <w:tab/>
        <w:t xml:space="preserve">ЭКО-рынок лишь условно национальный (локальный), т. к. пациенты ищут наиболее эффективные клиники по всему миру (соотношение цена-качество). В США результативность ЭКО у пациенток старше 40 лет составляет 2%, в России – ок. 12%, цикл ЭКО в московской </w:t>
      </w:r>
      <w:r>
        <w:rPr>
          <w:sz w:val="28"/>
          <w:szCs w:val="28"/>
        </w:rPr>
        <w:t xml:space="preserve">клинике стоит минимум $3000, </w:t>
      </w:r>
      <w:r>
        <w:rPr>
          <w:sz w:val="28"/>
          <w:szCs w:val="28"/>
        </w:rPr>
        <w:lastRenderedPageBreak/>
        <w:t>в США — ок. $15000, но чаще обращаются за донорским материалом, программами СМ и ПГД пациенты из стран, в которых имеются существенные ограничения на эти процедуры.</w:t>
      </w:r>
      <w:r>
        <w:rPr>
          <w:rStyle w:val="a6"/>
          <w:sz w:val="28"/>
          <w:szCs w:val="28"/>
        </w:rPr>
        <w:footnoteReference w:id="3"/>
      </w:r>
      <w:r>
        <w:rPr>
          <w:sz w:val="28"/>
          <w:szCs w:val="28"/>
        </w:rPr>
        <w:t xml:space="preserve"> Въездной репродуктивный туризм — перспективное направление ин</w:t>
      </w:r>
      <w:r>
        <w:rPr>
          <w:sz w:val="28"/>
          <w:szCs w:val="28"/>
        </w:rPr>
        <w:t>новационной экономики РФ, но институциональные противоречия с ЕС (бесплатное ЭКО для граждан ЕС — только в ЕС).</w:t>
      </w:r>
    </w:p>
    <w:p w:rsidR="00CB220B" w:rsidRDefault="00A33716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Перспективы — дальнейшее расширение ВРТ, особенно за счет специфических групп в целях сохранения индивидуальной репродуктивной функции (онкоболь</w:t>
      </w:r>
      <w:r>
        <w:rPr>
          <w:sz w:val="28"/>
          <w:szCs w:val="28"/>
        </w:rPr>
        <w:t xml:space="preserve">ные, работники профессий повышенного риска и проч.). </w:t>
      </w:r>
    </w:p>
    <w:p w:rsidR="00CB220B" w:rsidRDefault="00A33716">
      <w:pPr>
        <w:spacing w:line="360" w:lineRule="auto"/>
        <w:jc w:val="both"/>
      </w:pPr>
      <w:r>
        <w:rPr>
          <w:sz w:val="28"/>
          <w:szCs w:val="28"/>
        </w:rPr>
        <w:tab/>
      </w:r>
    </w:p>
    <w:p w:rsidR="00CB220B" w:rsidRDefault="00A33716">
      <w:pPr>
        <w:spacing w:line="360" w:lineRule="auto"/>
        <w:jc w:val="both"/>
      </w:pPr>
      <w:r>
        <w:rPr>
          <w:sz w:val="28"/>
          <w:szCs w:val="28"/>
        </w:rPr>
        <w:t xml:space="preserve"> </w:t>
      </w:r>
    </w:p>
    <w:p w:rsidR="00CB220B" w:rsidRDefault="00CB220B">
      <w:pPr>
        <w:spacing w:line="360" w:lineRule="auto"/>
        <w:jc w:val="both"/>
        <w:rPr>
          <w:i/>
          <w:iCs/>
          <w:color w:val="000000"/>
          <w:sz w:val="28"/>
          <w:szCs w:val="28"/>
        </w:rPr>
      </w:pPr>
    </w:p>
    <w:p w:rsidR="00CB220B" w:rsidRDefault="00CB220B">
      <w:pPr>
        <w:spacing w:line="360" w:lineRule="auto"/>
        <w:ind w:firstLine="567"/>
        <w:jc w:val="right"/>
        <w:rPr>
          <w:b/>
          <w:bCs/>
          <w:color w:val="0000CD"/>
          <w:sz w:val="28"/>
          <w:szCs w:val="28"/>
        </w:rPr>
      </w:pPr>
    </w:p>
    <w:p w:rsidR="00CB220B" w:rsidRDefault="00CB220B">
      <w:pPr>
        <w:spacing w:line="360" w:lineRule="auto"/>
        <w:ind w:firstLine="567"/>
        <w:jc w:val="right"/>
        <w:rPr>
          <w:b/>
          <w:bCs/>
          <w:color w:val="0000CD"/>
          <w:sz w:val="28"/>
          <w:szCs w:val="28"/>
        </w:rPr>
      </w:pPr>
    </w:p>
    <w:p w:rsidR="00CB220B" w:rsidRDefault="00CB220B">
      <w:pPr>
        <w:spacing w:line="360" w:lineRule="auto"/>
        <w:ind w:firstLine="567"/>
        <w:jc w:val="right"/>
        <w:rPr>
          <w:b/>
          <w:bCs/>
          <w:color w:val="0000CD"/>
          <w:sz w:val="28"/>
          <w:szCs w:val="28"/>
        </w:rPr>
      </w:pPr>
    </w:p>
    <w:p w:rsidR="00CB220B" w:rsidRDefault="00CB220B">
      <w:pPr>
        <w:spacing w:line="360" w:lineRule="auto"/>
        <w:ind w:firstLine="567"/>
        <w:jc w:val="right"/>
        <w:rPr>
          <w:b/>
          <w:bCs/>
          <w:color w:val="0000CD"/>
          <w:sz w:val="28"/>
          <w:szCs w:val="28"/>
        </w:rPr>
      </w:pPr>
    </w:p>
    <w:p w:rsidR="00CB220B" w:rsidRDefault="00CB220B">
      <w:pPr>
        <w:spacing w:line="360" w:lineRule="auto"/>
        <w:rPr>
          <w:b/>
          <w:bCs/>
          <w:sz w:val="28"/>
          <w:szCs w:val="28"/>
        </w:rPr>
      </w:pPr>
    </w:p>
    <w:sectPr w:rsidR="00CB220B">
      <w:footerReference w:type="default" r:id="rId8"/>
      <w:pgSz w:w="11906" w:h="16838"/>
      <w:pgMar w:top="1134" w:right="1134" w:bottom="1693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716" w:rsidRDefault="00A33716">
      <w:r>
        <w:separator/>
      </w:r>
    </w:p>
  </w:endnote>
  <w:endnote w:type="continuationSeparator" w:id="0">
    <w:p w:rsidR="00A33716" w:rsidRDefault="00A3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B" w:rsidRDefault="00A33716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B32E8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716" w:rsidRDefault="00A33716"/>
  </w:footnote>
  <w:footnote w:type="continuationSeparator" w:id="0">
    <w:p w:rsidR="00A33716" w:rsidRDefault="00A33716">
      <w:r>
        <w:continuationSeparator/>
      </w:r>
    </w:p>
  </w:footnote>
  <w:footnote w:id="1">
    <w:p w:rsidR="00CB220B" w:rsidRDefault="00A33716">
      <w:pPr>
        <w:jc w:val="both"/>
      </w:pPr>
      <w:r>
        <w:rPr>
          <w:color w:val="000000"/>
          <w:sz w:val="20"/>
          <w:szCs w:val="20"/>
        </w:rPr>
        <w:footnoteRef/>
      </w:r>
      <w:r>
        <w:rPr>
          <w:color w:val="000000"/>
          <w:sz w:val="20"/>
          <w:szCs w:val="20"/>
        </w:rPr>
        <w:tab/>
        <w:t xml:space="preserve">Национальный регистр ВРТ за 2016 г. с. 48 </w:t>
      </w:r>
      <w:hyperlink r:id="rId1">
        <w:r>
          <w:rPr>
            <w:rStyle w:val="-"/>
            <w:sz w:val="20"/>
            <w:szCs w:val="20"/>
          </w:rPr>
          <w:t>http://www.rahr.ru/d_registr_otchet/RegistrART2016.pdf</w:t>
        </w:r>
      </w:hyperlink>
      <w:r>
        <w:rPr>
          <w:color w:val="000000"/>
          <w:sz w:val="20"/>
          <w:szCs w:val="20"/>
        </w:rPr>
        <w:t xml:space="preserve"> </w:t>
      </w:r>
    </w:p>
  </w:footnote>
  <w:footnote w:id="2">
    <w:p w:rsidR="00CB220B" w:rsidRDefault="00A33716">
      <w:pPr>
        <w:pStyle w:val="af1"/>
      </w:pPr>
      <w:r>
        <w:footnoteRef/>
      </w:r>
      <w:r>
        <w:tab/>
        <w:t xml:space="preserve">ЭКО-система: что нужно знать об оплодотворении в пробирке. Редакция Forbes. 5 июля 2018 г. </w:t>
      </w:r>
      <w:hyperlink r:id="rId2">
        <w:r>
          <w:rPr>
            <w:rStyle w:val="-"/>
          </w:rPr>
          <w:t>http://www.demoscope.ru/weekly/2018/0777/gazeta010.php</w:t>
        </w:r>
      </w:hyperlink>
      <w:r>
        <w:t xml:space="preserve"> </w:t>
      </w:r>
    </w:p>
  </w:footnote>
  <w:footnote w:id="3">
    <w:p w:rsidR="00CB220B" w:rsidRDefault="00A33716">
      <w:pPr>
        <w:pStyle w:val="af1"/>
      </w:pPr>
      <w:r>
        <w:footnoteRef/>
      </w:r>
      <w:r>
        <w:tab/>
        <w:t xml:space="preserve">ЭКО-система: что нужно знать об оплодотворении в пробирке. Редакция Forbes. 5 июля 2018 г. </w:t>
      </w:r>
      <w:hyperlink r:id="rId3">
        <w:r>
          <w:rPr>
            <w:rStyle w:val="-"/>
          </w:rPr>
          <w:t>http://www.demoscope.ru/weekly/2018/0777/gazeta010.php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A6521"/>
    <w:multiLevelType w:val="multilevel"/>
    <w:tmpl w:val="F8CE9D4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1730799"/>
    <w:multiLevelType w:val="multilevel"/>
    <w:tmpl w:val="44365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20B"/>
    <w:rsid w:val="00A33716"/>
    <w:rsid w:val="00B32E8E"/>
    <w:rsid w:val="00CB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qFormat/>
    <w:rPr>
      <w:vertAlign w:val="superscript"/>
    </w:rPr>
  </w:style>
  <w:style w:type="character" w:customStyle="1" w:styleId="a4">
    <w:name w:val="Выделение жирным"/>
    <w:basedOn w:val="a0"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Посещённая гиперссылка"/>
    <w:basedOn w:val="a0"/>
    <w:rPr>
      <w:color w:val="800080"/>
      <w:u w:val="single"/>
    </w:rPr>
  </w:style>
  <w:style w:type="character" w:customStyle="1" w:styleId="link">
    <w:name w:val="link"/>
    <w:basedOn w:val="a0"/>
    <w:qFormat/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Символы концевой сноски"/>
    <w:qFormat/>
  </w:style>
  <w:style w:type="character" w:customStyle="1" w:styleId="a9">
    <w:name w:val="Символ нумерации"/>
    <w:qFormat/>
  </w:style>
  <w:style w:type="character" w:customStyle="1" w:styleId="aa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Symbol"/>
      <w:b w:val="0"/>
      <w:sz w:val="28"/>
    </w:rPr>
  </w:style>
  <w:style w:type="character" w:customStyle="1" w:styleId="ListLabel2">
    <w:name w:val="ListLabel 2"/>
    <w:qFormat/>
    <w:rPr>
      <w:rFonts w:cs="OpenSymbol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</w:style>
  <w:style w:type="paragraph" w:styleId="ae">
    <w:name w:val="Title"/>
    <w:basedOn w:val="a"/>
    <w:pPr>
      <w:suppressLineNumbers/>
      <w:spacing w:before="120" w:after="120"/>
    </w:pPr>
    <w:rPr>
      <w:i/>
      <w:iCs/>
    </w:rPr>
  </w:style>
  <w:style w:type="paragraph" w:styleId="af">
    <w:name w:val="index heading"/>
    <w:basedOn w:val="a"/>
    <w:qFormat/>
    <w:pPr>
      <w:suppressLineNumbers/>
    </w:p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2">
    <w:name w:val="Body Text 2"/>
    <w:basedOn w:val="a"/>
    <w:qFormat/>
    <w:rPr>
      <w:b/>
      <w:bCs/>
    </w:rPr>
  </w:style>
  <w:style w:type="paragraph" w:customStyle="1" w:styleId="af1">
    <w:name w:val="Сноска"/>
    <w:basedOn w:val="a"/>
    <w:pPr>
      <w:suppressLineNumbers/>
      <w:ind w:left="339" w:hanging="339"/>
    </w:pPr>
    <w:rPr>
      <w:sz w:val="20"/>
      <w:szCs w:val="20"/>
    </w:rPr>
  </w:style>
  <w:style w:type="paragraph" w:styleId="af2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spacing w:after="120" w:line="480" w:lineRule="auto"/>
      <w:ind w:left="283"/>
    </w:p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moscope.ru/weekly/2018/0777/gazeta010.php" TargetMode="External"/><Relationship Id="rId2" Type="http://schemas.openxmlformats.org/officeDocument/2006/relationships/hyperlink" Target="http://www.demoscope.ru/weekly/2018/0777/gazeta010.php" TargetMode="External"/><Relationship Id="rId1" Type="http://schemas.openxmlformats.org/officeDocument/2006/relationships/hyperlink" Target="http://www.rahr.ru/d_registr_otchet/RegistrART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2018-10-16T09:33:00Z</dcterms:created>
  <dcterms:modified xsi:type="dcterms:W3CDTF">2018-10-16T09:33:00Z</dcterms:modified>
  <dc:language>ru-RU</dc:language>
</cp:coreProperties>
</file>